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A93D" w14:textId="77777777" w:rsidR="00040BB0" w:rsidRPr="00735E93" w:rsidRDefault="00040BB0" w:rsidP="00F27BA4">
      <w:pPr>
        <w:pStyle w:val="Nagwek1"/>
      </w:pPr>
      <w:r>
        <w:t>LICENCJA NA OPROGRAMOWANIE STANDARDOWE</w:t>
      </w:r>
    </w:p>
    <w:p w14:paraId="4A4B4B3F" w14:textId="77777777" w:rsidR="00040BB0" w:rsidRDefault="00040BB0" w:rsidP="00F27BA4">
      <w:pPr>
        <w:pStyle w:val="Nagwek2"/>
      </w:pPr>
      <w:r>
        <w:t xml:space="preserve">Wykonawca oświadcza, </w:t>
      </w:r>
      <w:r w:rsidRPr="00684161">
        <w:t>ż</w:t>
      </w:r>
      <w:r>
        <w:t>e</w:t>
      </w:r>
      <w:r w:rsidRPr="00684161">
        <w:t xml:space="preserve"> jest uprawniony do korzystania z Oprogramowania Standardowego w szczególności do jego instalacji, konfiguracji, parametryzacji oraz modyfikacji w zakresie pozwalającym na realizację Umowy (Wdrożenie Systemu) zg</w:t>
      </w:r>
      <w:r>
        <w:t>odnie z Umową oraz Dokumentacją.</w:t>
      </w:r>
      <w:r w:rsidRPr="00684161">
        <w:t xml:space="preserve"> </w:t>
      </w:r>
    </w:p>
    <w:p w14:paraId="459291AB" w14:textId="77777777" w:rsidR="00040BB0" w:rsidRPr="00684161" w:rsidRDefault="00040BB0" w:rsidP="00F27BA4">
      <w:pPr>
        <w:pStyle w:val="Nagwek2"/>
      </w:pPr>
      <w:r>
        <w:t xml:space="preserve">Wykonawca oświadcza, </w:t>
      </w:r>
      <w:r w:rsidRPr="00684161">
        <w:t>ż</w:t>
      </w:r>
      <w:r>
        <w:t>e</w:t>
      </w:r>
      <w:r w:rsidRPr="00684161">
        <w:t xml:space="preserve"> znana jest mu funkcjonalność Oprogramowania Standardowego oraz zapewnia, iż: </w:t>
      </w:r>
    </w:p>
    <w:p w14:paraId="22EB2889" w14:textId="77777777" w:rsidR="00040BB0" w:rsidRPr="00684161" w:rsidRDefault="00040BB0" w:rsidP="00F27BA4">
      <w:pPr>
        <w:pStyle w:val="Nagwek3"/>
      </w:pPr>
      <w:r>
        <w:t>uzyskan</w:t>
      </w:r>
      <w:r w:rsidRPr="00684161">
        <w:t>e przez Zamawiającego prawa do korzystania z Oprogramowania Standardowego w zakresie</w:t>
      </w:r>
      <w:r>
        <w:t xml:space="preserve"> określonym</w:t>
      </w:r>
      <w:r w:rsidRPr="00684161">
        <w:t xml:space="preserve"> Umową</w:t>
      </w:r>
      <w:r>
        <w:t xml:space="preserve"> </w:t>
      </w:r>
      <w:r w:rsidRPr="00684161">
        <w:t xml:space="preserve">będą wystarczające do </w:t>
      </w:r>
      <w:r>
        <w:t>W</w:t>
      </w:r>
      <w:r w:rsidRPr="00684161">
        <w:t xml:space="preserve">drożenia </w:t>
      </w:r>
      <w:r>
        <w:t xml:space="preserve">Systemu </w:t>
      </w:r>
      <w:r w:rsidRPr="00684161">
        <w:t xml:space="preserve">i korzystania z </w:t>
      </w:r>
      <w:r>
        <w:t xml:space="preserve">niego </w:t>
      </w:r>
      <w:r w:rsidRPr="00684161">
        <w:t xml:space="preserve">w zakresie określonym w Umowie i Dokumentacji, </w:t>
      </w:r>
    </w:p>
    <w:p w14:paraId="327EDA53" w14:textId="77777777" w:rsidR="00040BB0" w:rsidRPr="00684161" w:rsidRDefault="00040BB0" w:rsidP="00F27BA4">
      <w:pPr>
        <w:pStyle w:val="Nagwek3"/>
      </w:pPr>
      <w:r>
        <w:t>W</w:t>
      </w:r>
      <w:r w:rsidRPr="00684161">
        <w:t xml:space="preserve">drożenie i funkcjonowanie Systemu w zakresie opisanym w Umowie oraz Dokumentacji nie będzie prowadzić do naruszenia praw własności intelektualnej lub jakichkolwiek innych uprawnień </w:t>
      </w:r>
      <w:r>
        <w:t xml:space="preserve">do Oprogramowania Standardowego </w:t>
      </w:r>
      <w:r w:rsidRPr="00684161">
        <w:t>przysługujących osobom trzecim.</w:t>
      </w:r>
    </w:p>
    <w:p w14:paraId="478A71BA" w14:textId="77777777" w:rsidR="00040BB0" w:rsidRDefault="00040BB0" w:rsidP="00F27BA4">
      <w:pPr>
        <w:pStyle w:val="Nagwek2"/>
      </w:pPr>
      <w:r>
        <w:t xml:space="preserve">Wykonawca oświadcza, </w:t>
      </w:r>
      <w:r w:rsidRPr="00CB1D4C">
        <w:t>ż</w:t>
      </w:r>
      <w:r>
        <w:t>e</w:t>
      </w:r>
      <w:r w:rsidRPr="00CB1D4C">
        <w:t xml:space="preserve"> w ramach Wynagrodzenia należnego Wykonawcy z tytułu realizacji Umowy mieści się również wynagrodzenie z tytułu dostarczenia Oprogramowania Standardowego oraz całość opłat z tytułu udzielenia licencji na Oprogramowanie Standardowe.</w:t>
      </w:r>
    </w:p>
    <w:p w14:paraId="01B4C525" w14:textId="254E488A" w:rsidR="00701A4E" w:rsidRPr="00701A4E" w:rsidRDefault="00040BB0" w:rsidP="00701A4E">
      <w:pPr>
        <w:pStyle w:val="Nagwek2"/>
      </w:pPr>
      <w:r>
        <w:t xml:space="preserve">Wykonawca zobowiązuje się do zapewnienia Zamawiającemu praw do korzystania z Oprogramowania Standardowego w terminie określonym w Harmonogramie, a jeżeli taki termin nie został określony - z chwilą dostarczenia lub w inny sposób udostępnienia Zamawiającemu Oprogramowania Standardowego poprzez doprowadzenie do zawarcia umowy licencyjnej bezpośrednio między Zamawiającym a podmiotem uprawnionym do udzielania licencji na Oprogramowanie Standardowe lub udzieleniu sublicencji. </w:t>
      </w:r>
      <w:r w:rsidR="00701A4E">
        <w:t>Na okres realizacji Umowy, od dnia przekazania Oprogramowania Standardowego do dnia przejścia praw (licencji), Wykonawca udziela Zamawiającemu uprawnienia do korzystania z Oprogramowania Standardowego (Licencja Testowa). Licencja Testowa jest udzielona na polach eksploatacji jak opisane powyżej, z tym zastrzeżeniem, że komercyjne korzystanie z Oprogramowania Standardowego dopuszczalne jest po pozytywny Okresie Stabilizacji w Etapie, w którym dostarczono dane Oprogramowanie Standardowe.</w:t>
      </w:r>
    </w:p>
    <w:p w14:paraId="33EDC249" w14:textId="7C76A9DC" w:rsidR="00040BB0" w:rsidRPr="00C416DB" w:rsidRDefault="00040BB0" w:rsidP="00F27BA4">
      <w:pPr>
        <w:pStyle w:val="Nagwek2"/>
      </w:pPr>
      <w:r>
        <w:t xml:space="preserve">Wykonawca zapewnia, </w:t>
      </w:r>
      <w:r w:rsidR="00611CF6">
        <w:t xml:space="preserve">poza uprawnieniami wynikającymi z Umowy, </w:t>
      </w:r>
      <w:r>
        <w:t>że:</w:t>
      </w:r>
    </w:p>
    <w:p w14:paraId="1C0C7174" w14:textId="77777777" w:rsidR="00DF467D" w:rsidRPr="00DF467D" w:rsidRDefault="009025D6" w:rsidP="00F27BA4">
      <w:pPr>
        <w:pStyle w:val="Nagwek3"/>
      </w:pPr>
      <w:r>
        <w:t xml:space="preserve">licencja będzie uprawniać do </w:t>
      </w:r>
      <w:r w:rsidRPr="009025D6">
        <w:t>trwałego lub czasowego zwielokrotnienia programu komputerowego w całości lub w części jakimikolwiek środkami i w jakiejkolwiek formie</w:t>
      </w:r>
      <w:r>
        <w:t>,</w:t>
      </w:r>
      <w:r w:rsidR="00DF467D" w:rsidRPr="00DF467D">
        <w:rPr>
          <w:rFonts w:eastAsia="Times New Roman" w:cs="Arial"/>
          <w:bCs w:val="0"/>
          <w:sz w:val="20"/>
          <w:szCs w:val="20"/>
        </w:rPr>
        <w:t xml:space="preserve"> </w:t>
      </w:r>
    </w:p>
    <w:p w14:paraId="6CC94350" w14:textId="083F7BA6" w:rsidR="009025D6" w:rsidRDefault="00DF467D" w:rsidP="00F27BA4">
      <w:pPr>
        <w:pStyle w:val="Nagwek3"/>
      </w:pPr>
      <w:r>
        <w:t xml:space="preserve">licencja będzie uprawniać do </w:t>
      </w:r>
      <w:r w:rsidRPr="00DF467D">
        <w:t>tłumaczeni</w:t>
      </w:r>
      <w:r>
        <w:t>a</w:t>
      </w:r>
      <w:r w:rsidRPr="00DF467D">
        <w:t>, przystosowywani</w:t>
      </w:r>
      <w:r>
        <w:t>a</w:t>
      </w:r>
      <w:r w:rsidRPr="00DF467D">
        <w:t>, zmiany układu lub jakiekolwiek inne zmiany w programie komputerowym</w:t>
      </w:r>
      <w:r>
        <w:t xml:space="preserve"> (w ramach funkcjonalności dostępnych w oprogramowaniu),</w:t>
      </w:r>
    </w:p>
    <w:p w14:paraId="43432BC8" w14:textId="29D5090F" w:rsidR="00040BB0" w:rsidRPr="00C416DB" w:rsidRDefault="00040BB0" w:rsidP="00F27BA4">
      <w:pPr>
        <w:pStyle w:val="Nagwek3"/>
      </w:pPr>
      <w:r w:rsidRPr="00C416DB">
        <w:t>licencja na korzystanie z Oprogramowania Standardowego nie będzie ograniczać Zamawiającego w korzystaniu z Systemu poza przypadkami wyraźnie wymienionymi w warunkach licencyjnych (liczba użytkowników, procesorów itp.)</w:t>
      </w:r>
      <w:r>
        <w:t>,</w:t>
      </w:r>
      <w:r w:rsidRPr="00C416DB">
        <w:t xml:space="preserve"> </w:t>
      </w:r>
    </w:p>
    <w:p w14:paraId="02F37984" w14:textId="29231AF8" w:rsidR="00040BB0" w:rsidRPr="00C416DB" w:rsidRDefault="00040BB0" w:rsidP="00F27BA4">
      <w:pPr>
        <w:pStyle w:val="Nagwek3"/>
      </w:pPr>
      <w:r>
        <w:t>licencja na korzystanie z Oprogramowania Standardowego będzie pozwalać na korzystanie z niego także przez inne podmioty z GK PGE</w:t>
      </w:r>
      <w:r w:rsidR="001F3871">
        <w:t xml:space="preserve"> oraz podmioty wskazane w pkt [11.12.5] Umowy</w:t>
      </w:r>
      <w:r>
        <w:t>, w tym także w modelach typu SaaS</w:t>
      </w:r>
      <w:r w:rsidR="00DF467D">
        <w:t xml:space="preserve"> (powalać będzie na rozpowszechnianie w ramach GK PGE)</w:t>
      </w:r>
      <w:r>
        <w:t xml:space="preserve">, </w:t>
      </w:r>
    </w:p>
    <w:p w14:paraId="518978F8" w14:textId="3C358B58" w:rsidR="00040BB0" w:rsidRPr="00C416DB" w:rsidRDefault="00040BB0" w:rsidP="00F27BA4">
      <w:pPr>
        <w:pStyle w:val="Nagwek3"/>
      </w:pPr>
      <w:r w:rsidRPr="00C416DB">
        <w:t xml:space="preserve">żaden podmiot nie będzie dochodził od Zamawiającego </w:t>
      </w:r>
      <w:r w:rsidR="004C6745">
        <w:t xml:space="preserve">lub podmiotu z GK PGE </w:t>
      </w:r>
      <w:r w:rsidRPr="00C416DB">
        <w:t xml:space="preserve">roszczeń z tytułu korzystania z Oprogramowania Standardowego, w szczególności w związku z uwzględnieniem kosztów licencji w wynagrodzeniu opisanym w niniejszej Umowie, żaden podmiot nie będzie dochodził od Zamawiającego </w:t>
      </w:r>
      <w:r w:rsidR="004C6745" w:rsidRPr="004C6745">
        <w:t xml:space="preserve">lub podmiotu z GK PGE </w:t>
      </w:r>
      <w:r w:rsidRPr="00C416DB">
        <w:t>jakichkolwiek opłat licencyjnych lub odszkodowań związanych z korzystaniem z Oprogramowania Standardowego,</w:t>
      </w:r>
    </w:p>
    <w:p w14:paraId="21F2AEE5" w14:textId="60FC97CD" w:rsidR="00040BB0" w:rsidRPr="00C416DB" w:rsidRDefault="00040BB0" w:rsidP="00F27BA4">
      <w:pPr>
        <w:pStyle w:val="Nagwek3"/>
      </w:pPr>
      <w:r w:rsidRPr="00C416DB">
        <w:lastRenderedPageBreak/>
        <w:t>czas trwania licencji</w:t>
      </w:r>
      <w:r>
        <w:t xml:space="preserve"> nie może być krótszy niż </w:t>
      </w:r>
      <w:r w:rsidR="006E4BD0">
        <w:t xml:space="preserve">5 </w:t>
      </w:r>
      <w:r>
        <w:t>lat</w:t>
      </w:r>
      <w:r w:rsidR="004C6745">
        <w:t xml:space="preserve"> (w przypadku Oprogramowania Standardowego oferowanego w modelu subskrypcyjn</w:t>
      </w:r>
      <w:r w:rsidR="005268B7">
        <w:t>ym</w:t>
      </w:r>
      <w:r w:rsidR="004C6745">
        <w:t xml:space="preserve">, a w przypadku modelu licencyjnego </w:t>
      </w:r>
      <w:proofErr w:type="spellStart"/>
      <w:r w:rsidR="004C6745" w:rsidRPr="00F27BA4">
        <w:rPr>
          <w:i/>
          <w:iCs/>
        </w:rPr>
        <w:t>perpetual</w:t>
      </w:r>
      <w:proofErr w:type="spellEnd"/>
      <w:r w:rsidR="004C6745">
        <w:t xml:space="preserve"> – </w:t>
      </w:r>
      <w:r w:rsidR="00767EF2" w:rsidRPr="00767EF2">
        <w:t>po upływie 5 lat licencja przekształca się w licencję na czas nieoznaczony z możliwością wypowiedzenia licencji z zachowaniem 10 letniego okresu wypowiedzenia</w:t>
      </w:r>
      <w:r w:rsidR="004C6745">
        <w:t xml:space="preserve"> (termin wypowiedzenia)</w:t>
      </w:r>
      <w:r w:rsidR="004C6745" w:rsidRPr="00C012E1">
        <w:t>, ze skutkiem na koniec roku kalendarzowego</w:t>
      </w:r>
      <w:r w:rsidR="004C6745">
        <w:t>)</w:t>
      </w:r>
      <w:r w:rsidRPr="00C416DB">
        <w:t xml:space="preserve"> </w:t>
      </w:r>
      <w:r>
        <w:t>a</w:t>
      </w:r>
      <w:r w:rsidRPr="00C416DB">
        <w:t xml:space="preserve"> dozwolone terytorium korzystania z Oprogramowania Standardowego nie będ</w:t>
      </w:r>
      <w:r>
        <w:t>zie</w:t>
      </w:r>
      <w:r w:rsidRPr="00C416DB">
        <w:t xml:space="preserve"> ograniczone, </w:t>
      </w:r>
    </w:p>
    <w:p w14:paraId="762C47C7" w14:textId="6489C693" w:rsidR="00040BB0" w:rsidRPr="00C416DB" w:rsidRDefault="00040BB0" w:rsidP="00F27BA4">
      <w:pPr>
        <w:pStyle w:val="Nagwek3"/>
      </w:pPr>
      <w:r w:rsidRPr="00C416DB">
        <w:t>Zamawiający będzie miał prawo upoważnienia innych podmiotów do zapewnienia obsługi technicznej Oprogramowania</w:t>
      </w:r>
      <w:r w:rsidR="009025D6" w:rsidRPr="009025D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025D6" w:rsidRPr="009025D6">
        <w:t>Standardowego</w:t>
      </w:r>
      <w:r w:rsidRPr="00C416DB">
        <w:t>, w tym poprzez zlecenie im czynności serwisowych lub administracyjnych, z zastrzeżeniem, że taka obsługa będzie miała na celu obsługę procesów Zamawiającego</w:t>
      </w:r>
      <w:r w:rsidR="009025D6">
        <w:t xml:space="preserve"> lub </w:t>
      </w:r>
      <w:r w:rsidR="009025D6" w:rsidRPr="00C416DB">
        <w:t>podmiot</w:t>
      </w:r>
      <w:r w:rsidR="009025D6">
        <w:t>ów</w:t>
      </w:r>
      <w:r w:rsidR="009025D6" w:rsidRPr="00C416DB">
        <w:t xml:space="preserve"> z GK PGE</w:t>
      </w:r>
      <w:r w:rsidRPr="00C416DB">
        <w:t>.</w:t>
      </w:r>
    </w:p>
    <w:p w14:paraId="6EEE3051" w14:textId="439620D7" w:rsidR="00D21921" w:rsidRDefault="00040BB0" w:rsidP="00F27BA4">
      <w:pPr>
        <w:pStyle w:val="Nagwek2"/>
      </w:pPr>
      <w:r w:rsidRPr="00C416DB">
        <w:t>Powyższe zasady stosuje się odpowiednio do dokumentacji</w:t>
      </w:r>
      <w:r w:rsidRPr="00735E93">
        <w:t xml:space="preserve"> związanej z Oprogramowaniem Standardowym</w:t>
      </w:r>
      <w:r w:rsidR="009025D6">
        <w:t xml:space="preserve">, z zastrzeżeniem, że Zamawiający </w:t>
      </w:r>
      <w:r w:rsidR="009025D6" w:rsidRPr="009025D6">
        <w:br/>
      </w:r>
      <w:r w:rsidR="009025D6">
        <w:t>będzie uprawniony do</w:t>
      </w:r>
      <w:r w:rsidR="00592F6A">
        <w:t>:</w:t>
      </w:r>
      <w:r w:rsidR="009025D6">
        <w:t xml:space="preserve"> </w:t>
      </w:r>
      <w:r w:rsidR="009025D6" w:rsidRPr="009025D6">
        <w:t xml:space="preserve">utrwalania i zwielokrotniania </w:t>
      </w:r>
      <w:r w:rsidR="009025D6">
        <w:t>takiej dokumentacji</w:t>
      </w:r>
      <w:r w:rsidR="009025D6" w:rsidRPr="009025D6">
        <w:t xml:space="preserve"> - wytwarzanie określoną techniką egzemplarzy utworu, w tym techniką drukarską, reprograficzną, zapisu magnetycznego oraz techniką cyfrową</w:t>
      </w:r>
      <w:r w:rsidR="00592F6A">
        <w:t xml:space="preserve">, </w:t>
      </w:r>
      <w:r w:rsidR="00592F6A" w:rsidRPr="00592F6A">
        <w:t>obrotu oryginałem albo egzemplarzami, na których utwór utrwalono - wprowadzanie do obrotu, użyczenie lub najem oryginału albo egzemplarzy</w:t>
      </w:r>
      <w:r w:rsidR="00592F6A">
        <w:t xml:space="preserve"> w ramach GK PGE, </w:t>
      </w:r>
      <w:r w:rsidR="00592F6A" w:rsidRPr="00592F6A">
        <w:t xml:space="preserve"> rozpowszechniania utworu</w:t>
      </w:r>
      <w:r w:rsidR="00592F6A">
        <w:t xml:space="preserve"> w sposób inny niż określony, w ramach GK PGE, </w:t>
      </w:r>
      <w:r w:rsidR="00592F6A" w:rsidRPr="00592F6A">
        <w:rPr>
          <w:rFonts w:eastAsia="Times New Roman" w:cs="Arial"/>
          <w:bCs w:val="0"/>
          <w:sz w:val="20"/>
          <w:szCs w:val="20"/>
        </w:rPr>
        <w:t xml:space="preserve"> </w:t>
      </w:r>
      <w:r w:rsidR="00592F6A" w:rsidRPr="00592F6A">
        <w:t>zezwalania na wykonywanie zależnych praw autorskich do tych utworów na wszystkich polach eksploatacji opisanych powyżej</w:t>
      </w:r>
      <w:r w:rsidR="00592F6A">
        <w:t xml:space="preserve"> na potrzeby GK PGE</w:t>
      </w:r>
      <w:r w:rsidR="00D21921">
        <w:t>.</w:t>
      </w:r>
    </w:p>
    <w:p w14:paraId="14CD2782" w14:textId="31555363" w:rsidR="00D6131C" w:rsidRPr="00D6131C" w:rsidRDefault="00D6131C" w:rsidP="00F27BA4">
      <w:pPr>
        <w:pStyle w:val="Nagwek2"/>
      </w:pPr>
      <w:r w:rsidRPr="00D6131C">
        <w:t>Licencja upoważnia Zamawiającego do udzielania sublicencji na rzecz wszystkich podmiotów należących do GK PGE i przenoszenia licencji pomiędzy podmiotami należącymi do GK PGE, a także na udostępnienia utworów w modelach typu SaaS (</w:t>
      </w:r>
      <w:r w:rsidRPr="00D6131C">
        <w:rPr>
          <w:i/>
        </w:rPr>
        <w:t>Software as a Service</w:t>
      </w:r>
      <w:r w:rsidRPr="00D6131C">
        <w:t>).</w:t>
      </w:r>
    </w:p>
    <w:p w14:paraId="68CC575A" w14:textId="6649BF31" w:rsidR="00592F6A" w:rsidRDefault="00040BB0" w:rsidP="00F27BA4">
      <w:pPr>
        <w:pStyle w:val="Nagwek2"/>
      </w:pPr>
      <w:r>
        <w:t>Integralną częścią niniejszego Załącznika mogą być warunki licencyjne producenta Oprogramowania Standardowego. W takim wypadku Wykonawca zapewnia, że niezależnie od wątpliwości interpretacyjnych, prawa Zamawiającego do korzystania z Oprogramowania Standardowego uzyskane na podstawie licencji udzielanej przez producenta będą nie węższe, niż opisano w Umowie oraz powyżej</w:t>
      </w:r>
      <w:r w:rsidR="00592F6A">
        <w:t>.</w:t>
      </w:r>
    </w:p>
    <w:p w14:paraId="2437DB99" w14:textId="133B1833" w:rsidR="00592F6A" w:rsidRPr="00592F6A" w:rsidRDefault="00592F6A" w:rsidP="00592F6A">
      <w:pPr>
        <w:pStyle w:val="Nagwek2"/>
      </w:pPr>
      <w:r>
        <w:t>Strony wyłączają zastosowanie przepisu art. 2 ust. 3 ustawy z dnia 4 lutego 1994 r. o prawie autorskim i prawach pokrewnych. W przypadku</w:t>
      </w:r>
      <w:r w:rsidR="715C7841">
        <w:t>,</w:t>
      </w:r>
      <w:r>
        <w:t xml:space="preserve"> gdyby postanowienie, o którym mowa zdaniu poprzednim, było sprzeczne z bezwzględnie obowiązującymi przepisami prawa, Wykonawca zobowiązuje się do niekorzystania z tych uprawnień.</w:t>
      </w:r>
    </w:p>
    <w:p w14:paraId="17676496" w14:textId="56D71123" w:rsidR="004A4083" w:rsidRPr="008147A8" w:rsidRDefault="009025D6" w:rsidP="00F27BA4">
      <w:pPr>
        <w:pStyle w:val="Nagwek2"/>
        <w:rPr>
          <w:highlight w:val="yellow"/>
        </w:rPr>
      </w:pPr>
      <w:r>
        <w:t>Powyższe zasady dotyczą następującego Oprogramowania Standardowego:</w:t>
      </w:r>
      <w:r w:rsidRPr="17F165D8">
        <w:rPr>
          <w:highlight w:val="yellow"/>
        </w:rPr>
        <w:t>…..</w:t>
      </w:r>
      <w:r w:rsidR="004C6745" w:rsidRPr="17F165D8">
        <w:rPr>
          <w:highlight w:val="yellow"/>
        </w:rPr>
        <w:t xml:space="preserve"> </w:t>
      </w:r>
      <w:r w:rsidRPr="17F165D8">
        <w:rPr>
          <w:highlight w:val="yellow"/>
        </w:rPr>
        <w:t>(do uzupełnienia przez Wykonawcę</w:t>
      </w:r>
      <w:r w:rsidR="004C6745" w:rsidRPr="17F165D8">
        <w:rPr>
          <w:highlight w:val="yellow"/>
        </w:rPr>
        <w:t xml:space="preserve"> przed zawarciem Umowy lub na podstawie Ofert</w:t>
      </w:r>
      <w:r w:rsidR="005268B7" w:rsidRPr="17F165D8">
        <w:rPr>
          <w:highlight w:val="yellow"/>
        </w:rPr>
        <w:t>y</w:t>
      </w:r>
      <w:r w:rsidRPr="17F165D8">
        <w:rPr>
          <w:highlight w:val="yellow"/>
        </w:rPr>
        <w:t>)</w:t>
      </w:r>
    </w:p>
    <w:p w14:paraId="44963F14" w14:textId="399DCDF7" w:rsidR="004A4083" w:rsidRPr="008147A8" w:rsidRDefault="00620466" w:rsidP="29D17078">
      <w:pPr>
        <w:pStyle w:val="Nagwek2"/>
      </w:pPr>
      <w:r>
        <w:t>Powyższe zasady licencyjne stosuje się również do nabytego dodatkowego Oprogramowania zgodnie z pkt [2.3.4] Umowy</w:t>
      </w:r>
      <w:r w:rsidR="00040BB0">
        <w:t>.</w:t>
      </w:r>
    </w:p>
    <w:p w14:paraId="43B6AA8D" w14:textId="07735123" w:rsidR="009025D6" w:rsidRPr="00AB3373" w:rsidRDefault="009025D6" w:rsidP="00F27BA4">
      <w:pPr>
        <w:pStyle w:val="Nagwek2"/>
      </w:pPr>
      <w:r>
        <w:t xml:space="preserve">W przypadku zamiaru wykorzystania do realizacji Umowy oprogramowania Open Source Wykonawca </w:t>
      </w:r>
      <w:r w:rsidR="00620466">
        <w:t xml:space="preserve">w Analizie przedstawi </w:t>
      </w:r>
      <w:r>
        <w:t>wykaz oprogramowania Open Source</w:t>
      </w:r>
      <w:r w:rsidR="00620466">
        <w:t xml:space="preserve">, </w:t>
      </w:r>
      <w:bookmarkStart w:id="0" w:name="_Hlk213237773"/>
      <w:r w:rsidR="00620466">
        <w:t>które zamierza zastosować</w:t>
      </w:r>
      <w:r>
        <w:t xml:space="preserve"> </w:t>
      </w:r>
      <w:r w:rsidR="00620466">
        <w:t xml:space="preserve">przy Wdrożeniu </w:t>
      </w:r>
      <w:r>
        <w:t>wraz z warunkami licencyjnymi</w:t>
      </w:r>
      <w:bookmarkEnd w:id="0"/>
      <w:r>
        <w:t>. Do oprogramowania Open Source stosuje się wszystkie niezastrzeżone inaczej punkty dotyczące Oprogramowania Standardowego</w:t>
      </w:r>
    </w:p>
    <w:p w14:paraId="51B9C8E6" w14:textId="77777777" w:rsidR="009025D6" w:rsidRPr="00AB3373" w:rsidRDefault="009025D6" w:rsidP="00F27BA4">
      <w:pPr>
        <w:pStyle w:val="Nagwek2"/>
      </w:pPr>
      <w:r w:rsidRPr="00AB3373">
        <w:t xml:space="preserve">W każdym przypadku wykorzystania oprogramowania Open Source Wykonawca zapewnia, że jego wykorzystanie na potrzeby Umowy będzie zgodne z postanowieniami odpowiednich licencji przypisanych do danego oprogramowania. </w:t>
      </w:r>
    </w:p>
    <w:p w14:paraId="5F5D0C0D" w14:textId="55D6D87A" w:rsidR="009025D6" w:rsidRPr="00AB3373" w:rsidRDefault="009025D6" w:rsidP="00F27BA4">
      <w:pPr>
        <w:pStyle w:val="Nagwek2"/>
      </w:pPr>
      <w:r w:rsidRPr="00AB3373">
        <w:lastRenderedPageBreak/>
        <w:t xml:space="preserve">Wykonawca oświadcza i gwarantuje, że wykorzystanie oprogramowanie </w:t>
      </w:r>
      <w:bookmarkStart w:id="1" w:name="_Hlk213237722"/>
      <w:r w:rsidRPr="00AB3373">
        <w:t xml:space="preserve">Open Source </w:t>
      </w:r>
      <w:bookmarkEnd w:id="1"/>
      <w:r w:rsidRPr="00AB3373">
        <w:t xml:space="preserve">nie będzie ograniczać Zamawiającego w zakresie </w:t>
      </w:r>
      <w:r>
        <w:t>korzystania z</w:t>
      </w:r>
      <w:r w:rsidRPr="00AB3373">
        <w:t xml:space="preserve"> Systemu połączonego z oprogramowaniem Open Source, w tym nie może nakładać na Zamawiającego</w:t>
      </w:r>
      <w:r>
        <w:t>, spółki GK PGE oraz użytkowników Systemu</w:t>
      </w:r>
      <w:r w:rsidRPr="00AB3373">
        <w:t xml:space="preserve"> </w:t>
      </w:r>
      <w:r>
        <w:t xml:space="preserve">żadnych dodatkowych obowiązków np. </w:t>
      </w:r>
      <w:r w:rsidRPr="00AB3373">
        <w:t xml:space="preserve">rozpowszechniania takiego połączonego Systemu wraz z kodem źródłowym. </w:t>
      </w:r>
    </w:p>
    <w:p w14:paraId="0FA4292A" w14:textId="78EDAF39" w:rsidR="009025D6" w:rsidRPr="00AB3373" w:rsidRDefault="009025D6" w:rsidP="00F27BA4">
      <w:pPr>
        <w:pStyle w:val="Nagwek2"/>
      </w:pPr>
      <w:r w:rsidRPr="00AB3373">
        <w:t>W przypadku, w którym dana licencja na oprogramowanie Open Source uzależnia zakres takich obowiązków od sposobu połączenia oprogramowania Open Source z innym oprogramowaniem (Systemem), Wykonawca zobowiązany jest do zrealizowania takiego połączenia w sposób nienakładający na Zamawiającego</w:t>
      </w:r>
      <w:r>
        <w:t>, spółki GK PGE lub użytkowników Systemu,</w:t>
      </w:r>
      <w:r w:rsidRPr="00AB3373">
        <w:t xml:space="preserve"> </w:t>
      </w:r>
      <w:r>
        <w:t xml:space="preserve">żadnego dodatkowego </w:t>
      </w:r>
      <w:r w:rsidRPr="00AB3373">
        <w:t>obowiązku</w:t>
      </w:r>
      <w:r>
        <w:t xml:space="preserve"> np. </w:t>
      </w:r>
      <w:r w:rsidRPr="00AB3373">
        <w:t xml:space="preserve">rozpowszechniania połączonego oprogramowania (Systemu) wraz z kodem źródłowym. </w:t>
      </w:r>
    </w:p>
    <w:p w14:paraId="27CBECF4" w14:textId="77777777" w:rsidR="009025D6" w:rsidRPr="00AB3373" w:rsidRDefault="009025D6" w:rsidP="00F27BA4">
      <w:pPr>
        <w:pStyle w:val="Nagwek2"/>
      </w:pPr>
      <w:r w:rsidRPr="00AB3373">
        <w:t>Wykonawca oświadcza i gwarantuje, że licencja na oprogramowanie Open Source nie będzie nakładać na Zamawiającego obowiązku odprowadzania jakichkolwiek opłat lub wynagrodzenia na rzecz podmiotów uprawnionych do takiego oprogramowania.</w:t>
      </w:r>
    </w:p>
    <w:p w14:paraId="554E0510" w14:textId="77777777" w:rsidR="009025D6" w:rsidRPr="00AB3373" w:rsidRDefault="009025D6" w:rsidP="00F27BA4">
      <w:pPr>
        <w:pStyle w:val="Nagwek2"/>
      </w:pPr>
      <w:r w:rsidRPr="00AB3373">
        <w:t xml:space="preserve">Powyższe stosuje się również do oprogramowania </w:t>
      </w:r>
      <w:bookmarkStart w:id="2" w:name="_Hlk213237734"/>
      <w:r w:rsidRPr="00AB3373">
        <w:t xml:space="preserve">typu freeware, shareware oraz </w:t>
      </w:r>
      <w:proofErr w:type="spellStart"/>
      <w:r w:rsidRPr="00AB3373">
        <w:t>adware</w:t>
      </w:r>
      <w:bookmarkEnd w:id="2"/>
      <w:proofErr w:type="spellEnd"/>
      <w:r w:rsidRPr="00AB3373">
        <w:t>.</w:t>
      </w:r>
    </w:p>
    <w:p w14:paraId="3DAE53A2" w14:textId="77777777" w:rsidR="009025D6" w:rsidRPr="00D6131C" w:rsidRDefault="009025D6" w:rsidP="00C80EC0"/>
    <w:sectPr w:rsidR="009025D6" w:rsidRPr="00D6131C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3BD82" w14:textId="77777777" w:rsidR="001C6CBE" w:rsidRDefault="001C6CBE" w:rsidP="00040BB0">
      <w:pPr>
        <w:spacing w:after="0" w:line="240" w:lineRule="auto"/>
      </w:pPr>
      <w:r>
        <w:separator/>
      </w:r>
    </w:p>
  </w:endnote>
  <w:endnote w:type="continuationSeparator" w:id="0">
    <w:p w14:paraId="4127CA2F" w14:textId="77777777" w:rsidR="001C6CBE" w:rsidRDefault="001C6CBE" w:rsidP="00040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F637B" w14:textId="77777777" w:rsidR="001C6CBE" w:rsidRDefault="001C6CBE" w:rsidP="00040BB0">
      <w:pPr>
        <w:spacing w:after="0" w:line="240" w:lineRule="auto"/>
      </w:pPr>
      <w:r>
        <w:separator/>
      </w:r>
    </w:p>
  </w:footnote>
  <w:footnote w:type="continuationSeparator" w:id="0">
    <w:p w14:paraId="704C05A8" w14:textId="77777777" w:rsidR="001C6CBE" w:rsidRDefault="001C6CBE" w:rsidP="00040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C3FF" w14:textId="1E3A6E7C" w:rsidR="00A124D5" w:rsidRDefault="00A124D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2AD3BFA" wp14:editId="177E981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715831053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EE8B9A" w14:textId="096E8BBC" w:rsidR="00A124D5" w:rsidRPr="00A124D5" w:rsidRDefault="00A124D5" w:rsidP="00A124D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124D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AD3BF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7BEE8B9A" w14:textId="096E8BBC" w:rsidR="00A124D5" w:rsidRPr="00A124D5" w:rsidRDefault="00A124D5" w:rsidP="00A124D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124D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D497" w14:textId="0FD30727" w:rsidR="00040BB0" w:rsidRPr="006B019F" w:rsidRDefault="00A124D5" w:rsidP="00040BB0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C62BA0" wp14:editId="262F510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682700442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334D98" w14:textId="1134BDBA" w:rsidR="00A124D5" w:rsidRPr="00A124D5" w:rsidRDefault="00A124D5" w:rsidP="00A124D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124D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C62BA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7E334D98" w14:textId="1134BDBA" w:rsidR="00A124D5" w:rsidRPr="00A124D5" w:rsidRDefault="00A124D5" w:rsidP="00A124D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124D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01A84" w:rsidRPr="006B019F">
      <w:rPr>
        <w:rFonts w:ascii="Arial Narrow" w:hAnsi="Arial Narrow"/>
      </w:rPr>
      <w:t>Załącznik nr 8</w:t>
    </w:r>
  </w:p>
  <w:p w14:paraId="15AD8AB0" w14:textId="77777777" w:rsidR="00040BB0" w:rsidRPr="006B019F" w:rsidRDefault="00040BB0" w:rsidP="00040BB0">
    <w:pPr>
      <w:pStyle w:val="Nagwek"/>
      <w:jc w:val="right"/>
      <w:rPr>
        <w:rFonts w:ascii="Arial Narrow" w:hAnsi="Arial Narrow"/>
      </w:rPr>
    </w:pPr>
    <w:r w:rsidRPr="006B019F">
      <w:rPr>
        <w:rFonts w:ascii="Arial Narrow" w:hAnsi="Arial Narrow"/>
      </w:rPr>
      <w:t>Prawa do oprogramowania standardowego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A9D9" w14:textId="49595C7E" w:rsidR="00A124D5" w:rsidRDefault="00A124D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43E2704" wp14:editId="11EE632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732942045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5B280B" w14:textId="5E1C15EC" w:rsidR="00A124D5" w:rsidRPr="00A124D5" w:rsidRDefault="00A124D5" w:rsidP="00A124D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124D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3E270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625B280B" w14:textId="5E1C15EC" w:rsidR="00A124D5" w:rsidRPr="00A124D5" w:rsidRDefault="00A124D5" w:rsidP="00A124D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124D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57F3B"/>
    <w:multiLevelType w:val="multilevel"/>
    <w:tmpl w:val="66D8CC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540F0CDB"/>
    <w:multiLevelType w:val="multilevel"/>
    <w:tmpl w:val="A9DABB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005354158">
    <w:abstractNumId w:val="1"/>
  </w:num>
  <w:num w:numId="2" w16cid:durableId="1978028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653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B0"/>
    <w:rsid w:val="00003E72"/>
    <w:rsid w:val="00025FFC"/>
    <w:rsid w:val="000278D9"/>
    <w:rsid w:val="00040BB0"/>
    <w:rsid w:val="00053736"/>
    <w:rsid w:val="000F3674"/>
    <w:rsid w:val="0010135E"/>
    <w:rsid w:val="001C6CBE"/>
    <w:rsid w:val="001F3871"/>
    <w:rsid w:val="00230AF6"/>
    <w:rsid w:val="00255006"/>
    <w:rsid w:val="002F7926"/>
    <w:rsid w:val="003E329D"/>
    <w:rsid w:val="003F16BA"/>
    <w:rsid w:val="004776A7"/>
    <w:rsid w:val="00490B59"/>
    <w:rsid w:val="004A4083"/>
    <w:rsid w:val="004C6745"/>
    <w:rsid w:val="00517E74"/>
    <w:rsid w:val="005268B7"/>
    <w:rsid w:val="00536801"/>
    <w:rsid w:val="00592F6A"/>
    <w:rsid w:val="005B7C28"/>
    <w:rsid w:val="00611CF6"/>
    <w:rsid w:val="00620466"/>
    <w:rsid w:val="006366A6"/>
    <w:rsid w:val="006B019F"/>
    <w:rsid w:val="006B401D"/>
    <w:rsid w:val="006E4BD0"/>
    <w:rsid w:val="00700773"/>
    <w:rsid w:val="00701A4E"/>
    <w:rsid w:val="00701A84"/>
    <w:rsid w:val="00702127"/>
    <w:rsid w:val="00767EF2"/>
    <w:rsid w:val="007D1250"/>
    <w:rsid w:val="008147A8"/>
    <w:rsid w:val="00843028"/>
    <w:rsid w:val="00855898"/>
    <w:rsid w:val="009025D6"/>
    <w:rsid w:val="009151D8"/>
    <w:rsid w:val="0095581C"/>
    <w:rsid w:val="00962C33"/>
    <w:rsid w:val="0098784F"/>
    <w:rsid w:val="00A124D5"/>
    <w:rsid w:val="00A8345F"/>
    <w:rsid w:val="00BB0183"/>
    <w:rsid w:val="00C015CD"/>
    <w:rsid w:val="00C15D68"/>
    <w:rsid w:val="00C80EC0"/>
    <w:rsid w:val="00C83D52"/>
    <w:rsid w:val="00C90D90"/>
    <w:rsid w:val="00CD3FDC"/>
    <w:rsid w:val="00D16188"/>
    <w:rsid w:val="00D21921"/>
    <w:rsid w:val="00D53121"/>
    <w:rsid w:val="00D6131C"/>
    <w:rsid w:val="00D82271"/>
    <w:rsid w:val="00DF467D"/>
    <w:rsid w:val="00E42A42"/>
    <w:rsid w:val="00E5646A"/>
    <w:rsid w:val="00E86073"/>
    <w:rsid w:val="00EC52A5"/>
    <w:rsid w:val="00F27BA4"/>
    <w:rsid w:val="00FA3CE8"/>
    <w:rsid w:val="17F165D8"/>
    <w:rsid w:val="1D8DBAA2"/>
    <w:rsid w:val="1E681129"/>
    <w:rsid w:val="29D17078"/>
    <w:rsid w:val="2A4CA7AB"/>
    <w:rsid w:val="715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47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,Znak"/>
    <w:basedOn w:val="Normalny"/>
    <w:next w:val="Normalny"/>
    <w:link w:val="Nagwek1Znak"/>
    <w:autoRedefine/>
    <w:qFormat/>
    <w:rsid w:val="00F27BA4"/>
    <w:pPr>
      <w:keepNext/>
      <w:keepLines/>
      <w:suppressAutoHyphens/>
      <w:spacing w:before="120" w:after="0" w:line="240" w:lineRule="auto"/>
      <w:ind w:left="432" w:hanging="432"/>
      <w:jc w:val="both"/>
      <w:outlineLvl w:val="0"/>
    </w:pPr>
    <w:rPr>
      <w:rFonts w:ascii="Arial Narrow" w:eastAsiaTheme="majorEastAsia" w:hAnsi="Arial Narrow" w:cstheme="majorBidi"/>
      <w:b/>
      <w:bCs/>
      <w:caps/>
      <w:sz w:val="24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F27BA4"/>
    <w:pPr>
      <w:keepNext/>
      <w:keepLines/>
      <w:numPr>
        <w:ilvl w:val="1"/>
        <w:numId w:val="1"/>
      </w:numPr>
      <w:tabs>
        <w:tab w:val="left" w:pos="426"/>
      </w:tabs>
      <w:suppressAutoHyphens/>
      <w:spacing w:before="120" w:after="0" w:line="240" w:lineRule="auto"/>
      <w:jc w:val="both"/>
      <w:outlineLvl w:val="1"/>
    </w:pPr>
    <w:rPr>
      <w:rFonts w:ascii="Arial Narrow" w:eastAsiaTheme="majorEastAsia" w:hAnsi="Arial Narrow" w:cstheme="majorBidi"/>
      <w:bCs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F27BA4"/>
    <w:pPr>
      <w:keepNext/>
      <w:keepLines/>
      <w:numPr>
        <w:ilvl w:val="2"/>
        <w:numId w:val="1"/>
      </w:numPr>
      <w:suppressAutoHyphens/>
      <w:spacing w:before="120" w:after="0" w:line="240" w:lineRule="auto"/>
      <w:jc w:val="both"/>
      <w:outlineLvl w:val="2"/>
    </w:pPr>
    <w:rPr>
      <w:rFonts w:ascii="Arial Narrow" w:eastAsiaTheme="majorEastAsia" w:hAnsi="Arial Narrow" w:cstheme="majorBidi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autoRedefine/>
    <w:uiPriority w:val="99"/>
    <w:unhideWhenUsed/>
    <w:qFormat/>
    <w:rsid w:val="00040BB0"/>
    <w:pPr>
      <w:keepNext/>
      <w:keepLines/>
      <w:numPr>
        <w:ilvl w:val="3"/>
        <w:numId w:val="1"/>
      </w:numPr>
      <w:suppressAutoHyphens/>
      <w:spacing w:before="120" w:after="0" w:line="240" w:lineRule="auto"/>
      <w:ind w:left="2042" w:hanging="851"/>
      <w:jc w:val="both"/>
      <w:outlineLvl w:val="3"/>
    </w:pPr>
    <w:rPr>
      <w:rFonts w:ascii="Arial Narrow" w:eastAsiaTheme="majorEastAsia" w:hAnsi="Arial Narrow" w:cstheme="majorBidi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autoRedefine/>
    <w:unhideWhenUsed/>
    <w:qFormat/>
    <w:rsid w:val="00040BB0"/>
    <w:pPr>
      <w:keepNext/>
      <w:keepLines/>
      <w:numPr>
        <w:ilvl w:val="4"/>
        <w:numId w:val="1"/>
      </w:numPr>
      <w:suppressAutoHyphens/>
      <w:spacing w:before="120" w:after="0" w:line="240" w:lineRule="auto"/>
      <w:ind w:left="3175" w:hanging="1134"/>
      <w:jc w:val="both"/>
      <w:outlineLvl w:val="4"/>
    </w:pPr>
    <w:rPr>
      <w:rFonts w:ascii="Arial Narrow" w:eastAsiaTheme="majorEastAsia" w:hAnsi="Arial Narrow" w:cstheme="majorBidi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040BB0"/>
    <w:pPr>
      <w:keepNext/>
      <w:keepLines/>
      <w:numPr>
        <w:ilvl w:val="5"/>
        <w:numId w:val="1"/>
      </w:numPr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nhideWhenUsed/>
    <w:qFormat/>
    <w:rsid w:val="00040BB0"/>
    <w:pPr>
      <w:keepNext/>
      <w:keepLines/>
      <w:numPr>
        <w:ilvl w:val="6"/>
        <w:numId w:val="1"/>
      </w:numPr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040BB0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040BB0"/>
    <w:pPr>
      <w:keepNext/>
      <w:keepLines/>
      <w:numPr>
        <w:ilvl w:val="8"/>
        <w:numId w:val="1"/>
      </w:numPr>
      <w:suppressAutoHyphen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BB0"/>
  </w:style>
  <w:style w:type="paragraph" w:styleId="Stopka">
    <w:name w:val="footer"/>
    <w:basedOn w:val="Normalny"/>
    <w:link w:val="StopkaZnak"/>
    <w:uiPriority w:val="99"/>
    <w:unhideWhenUsed/>
    <w:rsid w:val="0004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BB0"/>
  </w:style>
  <w:style w:type="character" w:customStyle="1" w:styleId="Nagwek1Znak">
    <w:name w:val="Nagłówek 1 Znak"/>
    <w:aliases w:val="H1 Znak,Znak Znak"/>
    <w:basedOn w:val="Domylnaczcionkaakapitu"/>
    <w:link w:val="Nagwek1"/>
    <w:uiPriority w:val="99"/>
    <w:rsid w:val="00F27BA4"/>
    <w:rPr>
      <w:rFonts w:ascii="Arial Narrow" w:eastAsiaTheme="majorEastAsia" w:hAnsi="Arial Narrow" w:cstheme="majorBidi"/>
      <w:b/>
      <w:bCs/>
      <w:caps/>
      <w:sz w:val="24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27BA4"/>
    <w:rPr>
      <w:rFonts w:ascii="Arial Narrow" w:eastAsiaTheme="majorEastAsia" w:hAnsi="Arial Narrow" w:cstheme="majorBidi"/>
      <w:bCs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F27BA4"/>
    <w:rPr>
      <w:rFonts w:ascii="Arial Narrow" w:eastAsiaTheme="majorEastAsia" w:hAnsi="Arial Narrow" w:cstheme="majorBidi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40BB0"/>
    <w:rPr>
      <w:rFonts w:ascii="Arial Narrow" w:eastAsiaTheme="majorEastAsia" w:hAnsi="Arial Narrow" w:cstheme="majorBidi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040BB0"/>
    <w:rPr>
      <w:rFonts w:ascii="Arial Narrow" w:eastAsiaTheme="majorEastAsia" w:hAnsi="Arial Narrow" w:cstheme="majorBid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040B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040B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040BB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040B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4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4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4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4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4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4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02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1119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2025-11-26T15:21:00Z</dcterms:created>
  <dcterms:modified xsi:type="dcterms:W3CDTF">2025-11-26T15:21:00Z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2bafcedd,2aaab70d,28b12e9a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2025-11-26T15:21:38Z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83f4da3f-5f18-4c25-bf5f-a88b7171874b</vt:lpwstr>
  </property>
  <property fmtid="{D5CDD505-2E9C-101B-9397-08002B2CF9AE}" pid="11" name="MSIP_Label_514114f9-be46-4331-8fe2-8a463f84c1e9_ContentBits">
    <vt:lpwstr>1</vt:lpwstr>
  </property>
</Properties>
</file>